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0" w:firstLineChars="0"/>
        <w:jc w:val="center"/>
        <w:rPr>
          <w:sz w:val="30"/>
          <w:szCs w:val="30"/>
        </w:rPr>
      </w:pPr>
      <w:r>
        <w:rPr>
          <w:rFonts w:hint="eastAsia"/>
          <w:sz w:val="30"/>
          <w:szCs w:val="30"/>
          <w:lang w:val="en-US" w:eastAsia="zh-CN"/>
        </w:rPr>
        <w:t>广州汇雅塑料制品有限</w:t>
      </w:r>
      <w:r>
        <w:rPr>
          <w:rFonts w:hint="eastAsia"/>
          <w:sz w:val="30"/>
          <w:szCs w:val="30"/>
        </w:rPr>
        <w:t>公司工业固体废物污染防治信息公开</w:t>
      </w:r>
    </w:p>
    <w:p>
      <w:pPr>
        <w:spacing w:line="360" w:lineRule="exact"/>
        <w:ind w:firstLine="480"/>
        <w:rPr>
          <w:sz w:val="24"/>
          <w:szCs w:val="28"/>
        </w:rPr>
      </w:pPr>
      <w:r>
        <w:rPr>
          <w:rFonts w:hint="eastAsia"/>
          <w:sz w:val="24"/>
          <w:szCs w:val="28"/>
        </w:rPr>
        <w:t>公司对产生废物的管理须符合有关法律、法规及国家标准的要求。遵循环境保护“预防为主、防治结合、综合治理”的工作方针和“三同时”规定，做到生产建设与保护环境同步规划、同步实施、同步发展，实现经济效益、社会效益和环境效益的有机统一。</w:t>
      </w:r>
    </w:p>
    <w:p>
      <w:pPr>
        <w:spacing w:line="360" w:lineRule="exact"/>
        <w:ind w:firstLine="480"/>
      </w:pPr>
      <w:r>
        <w:rPr>
          <w:rFonts w:hint="eastAsia"/>
          <w:sz w:val="24"/>
          <w:szCs w:val="28"/>
        </w:rPr>
        <w:t>工业固体废物污染环境的防治，坚持减量化、资源化、无害化原则。</w:t>
      </w:r>
      <w:bookmarkStart w:id="0" w:name="_GoBack"/>
      <w:bookmarkEnd w:id="0"/>
    </w:p>
    <w:p>
      <w:pPr>
        <w:spacing w:line="360" w:lineRule="exact"/>
        <w:ind w:firstLine="480"/>
        <w:rPr>
          <w:sz w:val="24"/>
          <w:szCs w:val="28"/>
        </w:rPr>
      </w:pPr>
      <w:r>
        <w:rPr>
          <w:rFonts w:hint="eastAsia"/>
          <w:sz w:val="24"/>
          <w:szCs w:val="28"/>
        </w:rPr>
        <w:t>公司产生的工业固体废物必须按照国家和市环保局污染源申报登记的有关规定进行申报登记。</w:t>
      </w:r>
    </w:p>
    <w:p>
      <w:pPr>
        <w:spacing w:line="360" w:lineRule="exact"/>
        <w:ind w:firstLine="480"/>
        <w:rPr>
          <w:rFonts w:eastAsiaTheme="minorEastAsia"/>
          <w:sz w:val="24"/>
          <w:szCs w:val="28"/>
        </w:rPr>
      </w:pPr>
      <w:r>
        <w:rPr>
          <w:rFonts w:hint="eastAsia"/>
          <w:sz w:val="24"/>
          <w:szCs w:val="28"/>
        </w:rPr>
        <w:t>公司</w:t>
      </w:r>
      <w:r>
        <w:rPr>
          <w:rFonts w:hint="eastAsia"/>
          <w:sz w:val="24"/>
          <w:szCs w:val="28"/>
          <w:u w:val="single"/>
        </w:rPr>
        <w:t xml:space="preserve"> </w:t>
      </w:r>
      <w:r>
        <w:rPr>
          <w:rFonts w:hint="eastAsia"/>
          <w:sz w:val="24"/>
          <w:szCs w:val="28"/>
          <w:u w:val="single"/>
          <w:lang w:val="en-US" w:eastAsia="zh-CN"/>
        </w:rPr>
        <w:t>肖雅慧</w:t>
      </w:r>
      <w:r>
        <w:rPr>
          <w:rFonts w:hint="eastAsia"/>
          <w:sz w:val="24"/>
          <w:szCs w:val="28"/>
          <w:u w:val="single"/>
        </w:rPr>
        <w:t xml:space="preserve"> </w:t>
      </w:r>
      <w:r>
        <w:rPr>
          <w:rFonts w:hint="eastAsia"/>
          <w:sz w:val="24"/>
          <w:szCs w:val="28"/>
        </w:rPr>
        <w:t>是工业固体废物污染环境防治工作的第一责任人，对公司环境保护工作负全面的领导责任，并领导其稳步向前发展。</w:t>
      </w:r>
    </w:p>
    <w:p>
      <w:pPr>
        <w:spacing w:line="360" w:lineRule="exact"/>
        <w:ind w:firstLine="480"/>
        <w:rPr>
          <w:rFonts w:eastAsiaTheme="minorEastAsia"/>
          <w:sz w:val="24"/>
          <w:szCs w:val="28"/>
        </w:rPr>
      </w:pPr>
      <w:r>
        <w:rPr>
          <w:rFonts w:hint="eastAsia"/>
          <w:sz w:val="24"/>
          <w:szCs w:val="28"/>
        </w:rPr>
        <w:t>公司行政部负责公司工业固体废物污染环境防治工作的统一监管。公司设立工业固体废物污染防治工作领导小组，对公司的各项工业固体废物防治工作进行决策、监督和协调。</w:t>
      </w:r>
    </w:p>
    <w:p>
      <w:pPr>
        <w:spacing w:line="360" w:lineRule="exact"/>
        <w:ind w:firstLine="720" w:firstLineChars="300"/>
        <w:rPr>
          <w:sz w:val="24"/>
          <w:szCs w:val="28"/>
        </w:rPr>
      </w:pPr>
      <w:r>
        <w:rPr>
          <w:rFonts w:hint="eastAsia"/>
          <w:sz w:val="24"/>
          <w:szCs w:val="28"/>
        </w:rPr>
        <w:t>工业固体废物污染防治工作领导小组成员：</w:t>
      </w:r>
    </w:p>
    <w:p>
      <w:pPr>
        <w:spacing w:line="360" w:lineRule="exact"/>
        <w:ind w:firstLine="720" w:firstLineChars="300"/>
        <w:rPr>
          <w:rFonts w:eastAsiaTheme="minorEastAsia"/>
          <w:sz w:val="24"/>
          <w:szCs w:val="28"/>
          <w:u w:val="single"/>
        </w:rPr>
      </w:pPr>
      <w:r>
        <w:rPr>
          <w:rFonts w:hint="eastAsia"/>
          <w:sz w:val="24"/>
          <w:szCs w:val="28"/>
        </w:rPr>
        <w:t>组  长：</w:t>
      </w:r>
      <w:r>
        <w:rPr>
          <w:rFonts w:hint="eastAsia"/>
          <w:sz w:val="24"/>
          <w:szCs w:val="28"/>
          <w:u w:val="single"/>
        </w:rPr>
        <w:t xml:space="preserve">       </w:t>
      </w:r>
      <w:r>
        <w:rPr>
          <w:rFonts w:hint="eastAsia"/>
          <w:sz w:val="24"/>
          <w:szCs w:val="28"/>
          <w:u w:val="single"/>
          <w:lang w:val="en-US" w:eastAsia="zh-CN"/>
        </w:rPr>
        <w:t>郑建雄</w:t>
      </w:r>
      <w:r>
        <w:rPr>
          <w:rFonts w:hint="eastAsia"/>
          <w:sz w:val="24"/>
          <w:szCs w:val="28"/>
          <w:u w:val="single"/>
        </w:rPr>
        <w:t xml:space="preserve">               </w:t>
      </w:r>
    </w:p>
    <w:p>
      <w:pPr>
        <w:spacing w:line="360" w:lineRule="exact"/>
        <w:ind w:firstLine="720" w:firstLineChars="300"/>
        <w:rPr>
          <w:rFonts w:eastAsiaTheme="minorEastAsia"/>
          <w:sz w:val="24"/>
          <w:szCs w:val="28"/>
          <w:u w:val="single"/>
        </w:rPr>
      </w:pPr>
      <w:r>
        <w:rPr>
          <w:rFonts w:hint="eastAsia"/>
          <w:sz w:val="24"/>
          <w:szCs w:val="28"/>
        </w:rPr>
        <w:t>副组长：</w:t>
      </w:r>
      <w:r>
        <w:rPr>
          <w:rFonts w:hint="eastAsia"/>
          <w:sz w:val="24"/>
          <w:szCs w:val="28"/>
          <w:u w:val="single"/>
        </w:rPr>
        <w:t xml:space="preserve">      </w:t>
      </w:r>
      <w:r>
        <w:rPr>
          <w:rFonts w:hint="eastAsia"/>
          <w:sz w:val="24"/>
          <w:szCs w:val="28"/>
          <w:u w:val="single"/>
          <w:lang w:val="en-US" w:eastAsia="zh-CN"/>
        </w:rPr>
        <w:t>蒋玉莲</w:t>
      </w:r>
      <w:r>
        <w:rPr>
          <w:rFonts w:hint="eastAsia"/>
          <w:sz w:val="24"/>
          <w:szCs w:val="28"/>
          <w:u w:val="single"/>
        </w:rPr>
        <w:t xml:space="preserve">                </w:t>
      </w:r>
    </w:p>
    <w:p>
      <w:pPr>
        <w:spacing w:line="360" w:lineRule="exact"/>
        <w:ind w:firstLine="720" w:firstLineChars="300"/>
        <w:rPr>
          <w:sz w:val="24"/>
          <w:szCs w:val="28"/>
        </w:rPr>
      </w:pPr>
      <w:r>
        <w:rPr>
          <w:rFonts w:hint="eastAsia"/>
          <w:sz w:val="24"/>
          <w:szCs w:val="28"/>
        </w:rPr>
        <w:t>成  员：</w:t>
      </w:r>
      <w:r>
        <w:rPr>
          <w:rFonts w:hint="eastAsia"/>
          <w:sz w:val="24"/>
          <w:szCs w:val="28"/>
          <w:u w:val="single"/>
        </w:rPr>
        <w:t xml:space="preserve">        </w:t>
      </w:r>
      <w:r>
        <w:rPr>
          <w:rFonts w:hint="eastAsia"/>
          <w:sz w:val="24"/>
          <w:szCs w:val="28"/>
          <w:u w:val="single"/>
          <w:lang w:val="en-US" w:eastAsia="zh-CN"/>
        </w:rPr>
        <w:t>甘仁</w:t>
      </w:r>
      <w:r>
        <w:rPr>
          <w:rFonts w:hint="eastAsia"/>
          <w:sz w:val="24"/>
          <w:szCs w:val="28"/>
          <w:u w:val="single"/>
        </w:rPr>
        <w:t xml:space="preserve">              </w:t>
      </w:r>
    </w:p>
    <w:p>
      <w:pPr>
        <w:spacing w:line="360" w:lineRule="exact"/>
        <w:ind w:firstLine="480"/>
        <w:rPr>
          <w:sz w:val="24"/>
          <w:szCs w:val="28"/>
        </w:rPr>
      </w:pPr>
      <w:r>
        <w:rPr>
          <w:rFonts w:hint="eastAsia"/>
          <w:sz w:val="24"/>
          <w:szCs w:val="28"/>
        </w:rPr>
        <w:t>对公司工业固体废物集中处置设施、场所须进行统一规划和环境监督管理，产生工业固体废物必须统一送入集中设施、场所进行贮存。</w:t>
      </w:r>
    </w:p>
    <w:p>
      <w:pPr>
        <w:spacing w:line="360" w:lineRule="exact"/>
        <w:ind w:firstLine="480"/>
        <w:rPr>
          <w:sz w:val="24"/>
          <w:szCs w:val="28"/>
        </w:rPr>
      </w:pPr>
      <w:r>
        <w:rPr>
          <w:rFonts w:hint="eastAsia"/>
          <w:sz w:val="24"/>
          <w:szCs w:val="28"/>
        </w:rPr>
        <w:t>主管部门对管辖范围内工业固体废物的产生、收集、贮存、处置活动进行现场检查、索取资料。</w:t>
      </w:r>
    </w:p>
    <w:p>
      <w:pPr>
        <w:spacing w:line="360" w:lineRule="exact"/>
        <w:ind w:firstLine="480"/>
        <w:rPr>
          <w:sz w:val="24"/>
          <w:szCs w:val="28"/>
        </w:rPr>
      </w:pPr>
      <w:r>
        <w:rPr>
          <w:rFonts w:hint="eastAsia"/>
          <w:sz w:val="24"/>
          <w:szCs w:val="28"/>
        </w:rPr>
        <w:t>在工业固体废物收集、贮存、处置危险废物过程中，发生污染事故或泄露事故时相关单位及负责人须立即采取措施，消除污染危害，并及时报告，接收调查处理。</w:t>
      </w:r>
    </w:p>
    <w:p>
      <w:pPr>
        <w:spacing w:line="360" w:lineRule="exact"/>
        <w:ind w:firstLine="480"/>
        <w:rPr>
          <w:sz w:val="24"/>
          <w:szCs w:val="28"/>
        </w:rPr>
      </w:pPr>
      <w:r>
        <w:rPr>
          <w:rFonts w:hint="eastAsia"/>
          <w:sz w:val="24"/>
          <w:szCs w:val="28"/>
        </w:rPr>
        <w:t>严禁向工业固体废物处置场所以外的区域倾倒、堆放或排放。</w:t>
      </w:r>
    </w:p>
    <w:p>
      <w:pPr>
        <w:spacing w:line="360" w:lineRule="exact"/>
        <w:ind w:firstLine="480"/>
        <w:rPr>
          <w:sz w:val="24"/>
          <w:szCs w:val="28"/>
        </w:rPr>
      </w:pPr>
      <w:r>
        <w:rPr>
          <w:rFonts w:hint="eastAsia"/>
          <w:sz w:val="24"/>
          <w:szCs w:val="28"/>
        </w:rPr>
        <w:t>工业固体废物的贮存设施必须符合国家标准及有关规定，并设置环境保护图形标志。</w:t>
      </w:r>
    </w:p>
    <w:p>
      <w:pPr>
        <w:spacing w:line="360" w:lineRule="exact"/>
        <w:ind w:firstLine="480"/>
        <w:rPr>
          <w:sz w:val="24"/>
          <w:szCs w:val="28"/>
        </w:rPr>
      </w:pPr>
      <w:r>
        <w:rPr>
          <w:rFonts w:hint="eastAsia"/>
          <w:sz w:val="24"/>
          <w:szCs w:val="28"/>
        </w:rPr>
        <w:t>对于工业固体废物的收集运输贮存，须安全分类包装，分类存放，安全转运并安全利用处置。</w:t>
      </w:r>
    </w:p>
    <w:p>
      <w:pPr>
        <w:spacing w:line="360" w:lineRule="exact"/>
        <w:ind w:firstLine="0" w:firstLineChars="0"/>
        <w:rPr>
          <w:sz w:val="24"/>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800" w:bottom="1134" w:left="1800" w:header="851" w:footer="992" w:gutter="0"/>
          <w:cols w:space="425" w:num="1"/>
          <w:docGrid w:type="lines" w:linePitch="312" w:charSpace="0"/>
        </w:sectPr>
      </w:pPr>
    </w:p>
    <w:p>
      <w:pPr>
        <w:ind w:firstLine="0" w:firstLineChars="0"/>
        <w:jc w:val="center"/>
        <w:rPr>
          <w:rFonts w:hint="eastAsia" w:ascii="黑体" w:hAnsi="黑体" w:eastAsia="黑体" w:cs="黑体"/>
          <w:sz w:val="32"/>
          <w:szCs w:val="36"/>
        </w:rPr>
      </w:pPr>
      <w:r>
        <w:rPr>
          <w:rFonts w:hint="eastAsia" w:ascii="黑体" w:hAnsi="黑体" w:eastAsia="黑体" w:cs="黑体"/>
          <w:sz w:val="32"/>
          <w:szCs w:val="36"/>
        </w:rPr>
        <w:t>危险废物来源及去向情况报表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96"/>
        <w:gridCol w:w="1473"/>
        <w:gridCol w:w="1476"/>
        <w:gridCol w:w="1373"/>
        <w:gridCol w:w="1207"/>
        <w:gridCol w:w="1509"/>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0" w:firstLineChars="0"/>
              <w:jc w:val="center"/>
              <w:rPr>
                <w:sz w:val="24"/>
                <w:szCs w:val="28"/>
              </w:rPr>
            </w:pPr>
            <w:r>
              <w:rPr>
                <w:rFonts w:hint="eastAsia"/>
                <w:sz w:val="24"/>
                <w:szCs w:val="28"/>
              </w:rPr>
              <w:t>危废类别</w:t>
            </w:r>
          </w:p>
        </w:tc>
        <w:tc>
          <w:tcPr>
            <w:tcW w:w="1896" w:type="dxa"/>
            <w:vAlign w:val="center"/>
          </w:tcPr>
          <w:p>
            <w:pPr>
              <w:ind w:firstLine="0" w:firstLineChars="0"/>
              <w:jc w:val="center"/>
              <w:rPr>
                <w:sz w:val="24"/>
                <w:szCs w:val="28"/>
              </w:rPr>
            </w:pPr>
            <w:r>
              <w:rPr>
                <w:rFonts w:hint="eastAsia"/>
                <w:sz w:val="24"/>
                <w:szCs w:val="28"/>
              </w:rPr>
              <w:t>危废代码</w:t>
            </w:r>
          </w:p>
        </w:tc>
        <w:tc>
          <w:tcPr>
            <w:tcW w:w="1473" w:type="dxa"/>
            <w:vAlign w:val="center"/>
          </w:tcPr>
          <w:p>
            <w:pPr>
              <w:ind w:firstLine="0" w:firstLineChars="0"/>
              <w:jc w:val="center"/>
              <w:rPr>
                <w:sz w:val="24"/>
                <w:szCs w:val="28"/>
              </w:rPr>
            </w:pPr>
            <w:r>
              <w:rPr>
                <w:rFonts w:hint="eastAsia"/>
                <w:sz w:val="24"/>
                <w:szCs w:val="28"/>
              </w:rPr>
              <w:t>危废名称</w:t>
            </w:r>
          </w:p>
        </w:tc>
        <w:tc>
          <w:tcPr>
            <w:tcW w:w="1476" w:type="dxa"/>
            <w:vAlign w:val="center"/>
          </w:tcPr>
          <w:p>
            <w:pPr>
              <w:ind w:firstLine="0" w:firstLineChars="0"/>
              <w:jc w:val="center"/>
              <w:rPr>
                <w:sz w:val="24"/>
                <w:szCs w:val="28"/>
              </w:rPr>
            </w:pPr>
            <w:r>
              <w:rPr>
                <w:rFonts w:hint="eastAsia"/>
                <w:sz w:val="24"/>
                <w:szCs w:val="28"/>
              </w:rPr>
              <w:t>产生来源</w:t>
            </w:r>
          </w:p>
        </w:tc>
        <w:tc>
          <w:tcPr>
            <w:tcW w:w="1373" w:type="dxa"/>
            <w:vAlign w:val="center"/>
          </w:tcPr>
          <w:p>
            <w:pPr>
              <w:ind w:firstLine="0" w:firstLineChars="0"/>
              <w:jc w:val="center"/>
              <w:rPr>
                <w:sz w:val="24"/>
                <w:szCs w:val="28"/>
              </w:rPr>
            </w:pPr>
            <w:r>
              <w:rPr>
                <w:rFonts w:hint="eastAsia"/>
                <w:sz w:val="24"/>
                <w:szCs w:val="28"/>
              </w:rPr>
              <w:t>危害特性</w:t>
            </w:r>
          </w:p>
        </w:tc>
        <w:tc>
          <w:tcPr>
            <w:tcW w:w="1207" w:type="dxa"/>
            <w:vAlign w:val="center"/>
          </w:tcPr>
          <w:p>
            <w:pPr>
              <w:ind w:firstLine="0" w:firstLineChars="0"/>
              <w:jc w:val="center"/>
              <w:rPr>
                <w:sz w:val="24"/>
                <w:szCs w:val="28"/>
              </w:rPr>
            </w:pPr>
            <w:r>
              <w:rPr>
                <w:rFonts w:hint="eastAsia"/>
                <w:sz w:val="24"/>
                <w:szCs w:val="28"/>
              </w:rPr>
              <w:t>2023年产生量</w:t>
            </w:r>
          </w:p>
        </w:tc>
        <w:tc>
          <w:tcPr>
            <w:tcW w:w="1509" w:type="dxa"/>
            <w:vAlign w:val="center"/>
          </w:tcPr>
          <w:p>
            <w:pPr>
              <w:ind w:firstLine="0" w:firstLineChars="0"/>
              <w:jc w:val="center"/>
              <w:rPr>
                <w:sz w:val="24"/>
                <w:szCs w:val="28"/>
              </w:rPr>
            </w:pPr>
            <w:r>
              <w:rPr>
                <w:rFonts w:hint="eastAsia"/>
                <w:sz w:val="24"/>
                <w:szCs w:val="28"/>
              </w:rPr>
              <w:t>2024年拟产生量</w:t>
            </w:r>
          </w:p>
        </w:tc>
        <w:tc>
          <w:tcPr>
            <w:tcW w:w="3824" w:type="dxa"/>
            <w:vAlign w:val="center"/>
          </w:tcPr>
          <w:p>
            <w:pPr>
              <w:ind w:firstLine="0" w:firstLineChars="0"/>
              <w:jc w:val="center"/>
              <w:rPr>
                <w:sz w:val="24"/>
                <w:szCs w:val="28"/>
              </w:rPr>
            </w:pPr>
            <w:r>
              <w:rPr>
                <w:rFonts w:hint="eastAsia"/>
                <w:sz w:val="24"/>
                <w:szCs w:val="28"/>
              </w:rPr>
              <w:t>主要去向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rFonts w:hint="default" w:eastAsia="仿宋"/>
                <w:sz w:val="24"/>
                <w:szCs w:val="28"/>
                <w:lang w:val="en-US" w:eastAsia="zh-CN"/>
              </w:rPr>
            </w:pPr>
            <w:r>
              <w:rPr>
                <w:rFonts w:hint="eastAsia"/>
                <w:sz w:val="24"/>
                <w:szCs w:val="28"/>
                <w:lang w:val="en-US" w:eastAsia="zh-CN"/>
              </w:rPr>
              <w:t>HW49</w:t>
            </w:r>
          </w:p>
        </w:tc>
        <w:tc>
          <w:tcPr>
            <w:tcW w:w="1896" w:type="dxa"/>
            <w:vAlign w:val="center"/>
          </w:tcPr>
          <w:p>
            <w:pPr>
              <w:ind w:firstLine="480"/>
              <w:jc w:val="center"/>
              <w:rPr>
                <w:rFonts w:hint="default" w:eastAsia="仿宋"/>
                <w:sz w:val="24"/>
                <w:szCs w:val="28"/>
                <w:lang w:val="en-US" w:eastAsia="zh-CN"/>
              </w:rPr>
            </w:pPr>
            <w:r>
              <w:rPr>
                <w:rFonts w:hint="eastAsia"/>
                <w:sz w:val="24"/>
                <w:szCs w:val="28"/>
                <w:lang w:val="en-US" w:eastAsia="zh-CN"/>
              </w:rPr>
              <w:t>900-041-49</w:t>
            </w:r>
          </w:p>
        </w:tc>
        <w:tc>
          <w:tcPr>
            <w:tcW w:w="1473" w:type="dxa"/>
            <w:vAlign w:val="center"/>
          </w:tcPr>
          <w:p>
            <w:pPr>
              <w:ind w:left="0" w:leftChars="0" w:firstLine="0" w:firstLineChars="0"/>
              <w:jc w:val="left"/>
              <w:rPr>
                <w:rFonts w:hint="default" w:eastAsia="仿宋"/>
                <w:sz w:val="24"/>
                <w:szCs w:val="28"/>
                <w:lang w:val="en-US" w:eastAsia="zh-CN"/>
              </w:rPr>
            </w:pPr>
            <w:r>
              <w:rPr>
                <w:rFonts w:hint="eastAsia"/>
                <w:sz w:val="24"/>
                <w:szCs w:val="28"/>
                <w:lang w:val="en-US" w:eastAsia="zh-CN"/>
              </w:rPr>
              <w:t>含油墨抹布</w:t>
            </w:r>
          </w:p>
        </w:tc>
        <w:tc>
          <w:tcPr>
            <w:tcW w:w="1476" w:type="dxa"/>
            <w:vAlign w:val="center"/>
          </w:tcPr>
          <w:p>
            <w:pPr>
              <w:ind w:left="0" w:leftChars="0" w:firstLine="0" w:firstLineChars="0"/>
              <w:jc w:val="left"/>
              <w:rPr>
                <w:rFonts w:hint="default" w:eastAsia="仿宋"/>
                <w:sz w:val="24"/>
                <w:szCs w:val="28"/>
                <w:lang w:val="en-US" w:eastAsia="zh-CN"/>
              </w:rPr>
            </w:pPr>
            <w:r>
              <w:rPr>
                <w:rFonts w:hint="eastAsia"/>
                <w:sz w:val="24"/>
                <w:szCs w:val="28"/>
                <w:lang w:val="en-US" w:eastAsia="zh-CN"/>
              </w:rPr>
              <w:t>生产过程</w:t>
            </w:r>
          </w:p>
        </w:tc>
        <w:tc>
          <w:tcPr>
            <w:tcW w:w="1373" w:type="dxa"/>
            <w:vAlign w:val="center"/>
          </w:tcPr>
          <w:p>
            <w:pPr>
              <w:ind w:firstLine="480"/>
              <w:jc w:val="center"/>
              <w:rPr>
                <w:rFonts w:hint="eastAsia" w:eastAsia="仿宋"/>
                <w:sz w:val="24"/>
                <w:szCs w:val="28"/>
                <w:lang w:val="en-US" w:eastAsia="zh-CN"/>
              </w:rPr>
            </w:pPr>
            <w:r>
              <w:rPr>
                <w:rFonts w:hint="eastAsia"/>
                <w:sz w:val="24"/>
                <w:szCs w:val="28"/>
                <w:lang w:val="en-US" w:eastAsia="zh-CN"/>
              </w:rPr>
              <w:t>易燃</w:t>
            </w:r>
          </w:p>
        </w:tc>
        <w:tc>
          <w:tcPr>
            <w:tcW w:w="1207"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0.28吨</w:t>
            </w:r>
          </w:p>
        </w:tc>
        <w:tc>
          <w:tcPr>
            <w:tcW w:w="1509" w:type="dxa"/>
            <w:vAlign w:val="center"/>
          </w:tcPr>
          <w:p>
            <w:pPr>
              <w:ind w:firstLine="480"/>
              <w:jc w:val="center"/>
              <w:rPr>
                <w:rFonts w:hint="default" w:eastAsia="仿宋"/>
                <w:sz w:val="24"/>
                <w:szCs w:val="28"/>
                <w:lang w:val="en-US" w:eastAsia="zh-CN"/>
              </w:rPr>
            </w:pPr>
            <w:r>
              <w:rPr>
                <w:rFonts w:hint="eastAsia"/>
                <w:sz w:val="24"/>
                <w:szCs w:val="28"/>
                <w:lang w:val="en-US" w:eastAsia="zh-CN"/>
              </w:rPr>
              <w:t>0.4吨</w:t>
            </w:r>
          </w:p>
        </w:tc>
        <w:tc>
          <w:tcPr>
            <w:tcW w:w="3824" w:type="dxa"/>
            <w:vAlign w:val="center"/>
          </w:tcPr>
          <w:p>
            <w:pPr>
              <w:ind w:firstLine="480"/>
              <w:jc w:val="center"/>
              <w:rPr>
                <w:rFonts w:hint="default" w:eastAsia="仿宋"/>
                <w:sz w:val="24"/>
                <w:szCs w:val="28"/>
                <w:lang w:val="en-US" w:eastAsia="zh-CN"/>
              </w:rPr>
            </w:pPr>
            <w:r>
              <w:rPr>
                <w:rFonts w:hint="eastAsia"/>
                <w:sz w:val="24"/>
                <w:szCs w:val="28"/>
                <w:lang w:val="en-US" w:eastAsia="zh-CN"/>
              </w:rPr>
              <w:t>危废单位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rFonts w:hint="default" w:eastAsia="仿宋"/>
                <w:sz w:val="24"/>
                <w:szCs w:val="28"/>
                <w:lang w:val="en-US" w:eastAsia="zh-CN"/>
              </w:rPr>
            </w:pPr>
            <w:r>
              <w:rPr>
                <w:rFonts w:hint="eastAsia"/>
                <w:sz w:val="24"/>
                <w:szCs w:val="28"/>
                <w:lang w:val="en-US" w:eastAsia="zh-CN"/>
              </w:rPr>
              <w:t>HW49</w:t>
            </w:r>
          </w:p>
        </w:tc>
        <w:tc>
          <w:tcPr>
            <w:tcW w:w="1896" w:type="dxa"/>
            <w:vAlign w:val="center"/>
          </w:tcPr>
          <w:p>
            <w:pPr>
              <w:ind w:firstLine="480"/>
              <w:jc w:val="center"/>
              <w:rPr>
                <w:rFonts w:hint="default" w:eastAsia="仿宋"/>
                <w:sz w:val="24"/>
                <w:szCs w:val="28"/>
                <w:lang w:val="en-US" w:eastAsia="zh-CN"/>
              </w:rPr>
            </w:pPr>
            <w:r>
              <w:rPr>
                <w:rFonts w:hint="eastAsia"/>
                <w:sz w:val="24"/>
                <w:szCs w:val="28"/>
                <w:lang w:val="en-US" w:eastAsia="zh-CN"/>
              </w:rPr>
              <w:t>900-039-49</w:t>
            </w:r>
          </w:p>
        </w:tc>
        <w:tc>
          <w:tcPr>
            <w:tcW w:w="1473" w:type="dxa"/>
            <w:vAlign w:val="center"/>
          </w:tcPr>
          <w:p>
            <w:pPr>
              <w:ind w:left="0" w:leftChars="0" w:firstLine="0" w:firstLineChars="0"/>
              <w:jc w:val="left"/>
              <w:rPr>
                <w:rFonts w:hint="default" w:eastAsia="仿宋"/>
                <w:sz w:val="24"/>
                <w:szCs w:val="28"/>
                <w:lang w:val="en-US" w:eastAsia="zh-CN"/>
              </w:rPr>
            </w:pPr>
            <w:r>
              <w:rPr>
                <w:rFonts w:hint="eastAsia"/>
                <w:sz w:val="24"/>
                <w:szCs w:val="28"/>
                <w:lang w:val="en-US" w:eastAsia="zh-CN"/>
              </w:rPr>
              <w:t>废活性炭</w:t>
            </w:r>
          </w:p>
        </w:tc>
        <w:tc>
          <w:tcPr>
            <w:tcW w:w="1476"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环保处理设备</w:t>
            </w:r>
          </w:p>
        </w:tc>
        <w:tc>
          <w:tcPr>
            <w:tcW w:w="1373" w:type="dxa"/>
            <w:vAlign w:val="center"/>
          </w:tcPr>
          <w:p>
            <w:pPr>
              <w:ind w:firstLine="480"/>
              <w:jc w:val="center"/>
              <w:rPr>
                <w:rFonts w:hint="eastAsia" w:eastAsia="仿宋"/>
                <w:sz w:val="24"/>
                <w:szCs w:val="28"/>
                <w:lang w:val="en-US" w:eastAsia="zh-CN"/>
              </w:rPr>
            </w:pPr>
            <w:r>
              <w:rPr>
                <w:rFonts w:hint="eastAsia"/>
                <w:sz w:val="24"/>
                <w:szCs w:val="28"/>
                <w:lang w:val="en-US" w:eastAsia="zh-CN"/>
              </w:rPr>
              <w:t>有毒</w:t>
            </w:r>
          </w:p>
        </w:tc>
        <w:tc>
          <w:tcPr>
            <w:tcW w:w="1207"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0.157吨</w:t>
            </w:r>
          </w:p>
        </w:tc>
        <w:tc>
          <w:tcPr>
            <w:tcW w:w="1509" w:type="dxa"/>
            <w:vAlign w:val="center"/>
          </w:tcPr>
          <w:p>
            <w:pPr>
              <w:ind w:firstLine="480"/>
              <w:jc w:val="center"/>
              <w:rPr>
                <w:rFonts w:hint="default" w:eastAsia="仿宋"/>
                <w:sz w:val="24"/>
                <w:szCs w:val="28"/>
                <w:lang w:val="en-US" w:eastAsia="zh-CN"/>
              </w:rPr>
            </w:pPr>
            <w:r>
              <w:rPr>
                <w:rFonts w:hint="eastAsia"/>
                <w:sz w:val="24"/>
                <w:szCs w:val="28"/>
                <w:lang w:val="en-US" w:eastAsia="zh-CN"/>
              </w:rPr>
              <w:t>0.1吨</w:t>
            </w:r>
          </w:p>
        </w:tc>
        <w:tc>
          <w:tcPr>
            <w:tcW w:w="3824" w:type="dxa"/>
            <w:vAlign w:val="center"/>
          </w:tcPr>
          <w:p>
            <w:pPr>
              <w:ind w:firstLine="480"/>
              <w:jc w:val="center"/>
              <w:rPr>
                <w:rFonts w:hint="default" w:eastAsia="仿宋"/>
                <w:sz w:val="24"/>
                <w:szCs w:val="28"/>
                <w:lang w:val="en-US" w:eastAsia="zh-CN"/>
              </w:rPr>
            </w:pPr>
            <w:r>
              <w:rPr>
                <w:rFonts w:hint="eastAsia"/>
                <w:sz w:val="24"/>
                <w:szCs w:val="28"/>
                <w:lang w:val="en-US" w:eastAsia="zh-CN"/>
              </w:rPr>
              <w:t>危废单位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rFonts w:hint="default" w:eastAsia="仿宋"/>
                <w:sz w:val="24"/>
                <w:szCs w:val="28"/>
                <w:lang w:val="en-US" w:eastAsia="zh-CN"/>
              </w:rPr>
            </w:pPr>
            <w:r>
              <w:rPr>
                <w:rFonts w:hint="eastAsia"/>
                <w:sz w:val="24"/>
                <w:szCs w:val="28"/>
                <w:lang w:val="en-US" w:eastAsia="zh-CN"/>
              </w:rPr>
              <w:t>HW49</w:t>
            </w:r>
          </w:p>
        </w:tc>
        <w:tc>
          <w:tcPr>
            <w:tcW w:w="1896" w:type="dxa"/>
            <w:vAlign w:val="center"/>
          </w:tcPr>
          <w:p>
            <w:pPr>
              <w:ind w:firstLine="480"/>
              <w:jc w:val="center"/>
              <w:rPr>
                <w:rFonts w:hint="default" w:eastAsia="仿宋"/>
                <w:sz w:val="24"/>
                <w:szCs w:val="28"/>
                <w:lang w:val="en-US" w:eastAsia="zh-CN"/>
              </w:rPr>
            </w:pPr>
            <w:r>
              <w:rPr>
                <w:rFonts w:hint="eastAsia"/>
                <w:sz w:val="24"/>
                <w:szCs w:val="28"/>
                <w:lang w:val="en-US" w:eastAsia="zh-CN"/>
              </w:rPr>
              <w:t>900-041-49</w:t>
            </w:r>
          </w:p>
        </w:tc>
        <w:tc>
          <w:tcPr>
            <w:tcW w:w="1473"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废光油桶</w:t>
            </w:r>
          </w:p>
        </w:tc>
        <w:tc>
          <w:tcPr>
            <w:tcW w:w="1476"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生产过程</w:t>
            </w:r>
          </w:p>
        </w:tc>
        <w:tc>
          <w:tcPr>
            <w:tcW w:w="1373" w:type="dxa"/>
            <w:vAlign w:val="center"/>
          </w:tcPr>
          <w:p>
            <w:pPr>
              <w:ind w:firstLine="480"/>
              <w:jc w:val="center"/>
              <w:rPr>
                <w:rFonts w:hint="eastAsia" w:eastAsia="仿宋"/>
                <w:sz w:val="24"/>
                <w:szCs w:val="28"/>
                <w:lang w:val="en-US" w:eastAsia="zh-CN"/>
              </w:rPr>
            </w:pPr>
            <w:r>
              <w:rPr>
                <w:rFonts w:hint="eastAsia"/>
                <w:sz w:val="24"/>
                <w:szCs w:val="28"/>
                <w:lang w:val="en-US" w:eastAsia="zh-CN"/>
              </w:rPr>
              <w:t>有毒</w:t>
            </w:r>
          </w:p>
        </w:tc>
        <w:tc>
          <w:tcPr>
            <w:tcW w:w="1207" w:type="dxa"/>
            <w:vAlign w:val="center"/>
          </w:tcPr>
          <w:p>
            <w:pPr>
              <w:ind w:left="0" w:leftChars="0" w:firstLine="0" w:firstLineChars="0"/>
              <w:jc w:val="both"/>
              <w:rPr>
                <w:rFonts w:hint="default" w:eastAsia="仿宋"/>
                <w:sz w:val="24"/>
                <w:szCs w:val="28"/>
                <w:lang w:val="en-US" w:eastAsia="zh-CN"/>
              </w:rPr>
            </w:pPr>
            <w:r>
              <w:rPr>
                <w:rFonts w:hint="eastAsia"/>
                <w:sz w:val="24"/>
                <w:szCs w:val="28"/>
                <w:lang w:val="en-US" w:eastAsia="zh-CN"/>
              </w:rPr>
              <w:t>0.1吨</w:t>
            </w:r>
          </w:p>
        </w:tc>
        <w:tc>
          <w:tcPr>
            <w:tcW w:w="1509" w:type="dxa"/>
            <w:vAlign w:val="center"/>
          </w:tcPr>
          <w:p>
            <w:pPr>
              <w:ind w:firstLine="480"/>
              <w:jc w:val="center"/>
              <w:rPr>
                <w:rFonts w:hint="default" w:eastAsia="仿宋"/>
                <w:sz w:val="24"/>
                <w:szCs w:val="28"/>
                <w:lang w:val="en-US" w:eastAsia="zh-CN"/>
              </w:rPr>
            </w:pPr>
            <w:r>
              <w:rPr>
                <w:rFonts w:hint="eastAsia"/>
                <w:sz w:val="24"/>
                <w:szCs w:val="28"/>
                <w:lang w:val="en-US" w:eastAsia="zh-CN"/>
              </w:rPr>
              <w:t>0.1吨</w:t>
            </w:r>
          </w:p>
        </w:tc>
        <w:tc>
          <w:tcPr>
            <w:tcW w:w="3824" w:type="dxa"/>
            <w:vAlign w:val="center"/>
          </w:tcPr>
          <w:p>
            <w:pPr>
              <w:ind w:firstLine="480"/>
              <w:jc w:val="center"/>
              <w:rPr>
                <w:rFonts w:hint="default" w:eastAsia="仿宋"/>
                <w:sz w:val="24"/>
                <w:szCs w:val="28"/>
                <w:lang w:val="en-US" w:eastAsia="zh-CN"/>
              </w:rPr>
            </w:pPr>
            <w:r>
              <w:rPr>
                <w:rFonts w:hint="eastAsia"/>
                <w:sz w:val="24"/>
                <w:szCs w:val="28"/>
                <w:lang w:val="en-US" w:eastAsia="zh-CN"/>
              </w:rPr>
              <w:t>危废单位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ind w:firstLine="480"/>
              <w:jc w:val="center"/>
              <w:rPr>
                <w:sz w:val="24"/>
                <w:szCs w:val="28"/>
              </w:rPr>
            </w:pPr>
          </w:p>
        </w:tc>
        <w:tc>
          <w:tcPr>
            <w:tcW w:w="1896" w:type="dxa"/>
            <w:vAlign w:val="center"/>
          </w:tcPr>
          <w:p>
            <w:pPr>
              <w:ind w:firstLine="480"/>
              <w:jc w:val="center"/>
              <w:rPr>
                <w:sz w:val="24"/>
                <w:szCs w:val="28"/>
              </w:rPr>
            </w:pPr>
          </w:p>
        </w:tc>
        <w:tc>
          <w:tcPr>
            <w:tcW w:w="1473" w:type="dxa"/>
            <w:vAlign w:val="center"/>
          </w:tcPr>
          <w:p>
            <w:pPr>
              <w:ind w:firstLine="480"/>
              <w:jc w:val="center"/>
              <w:rPr>
                <w:sz w:val="24"/>
                <w:szCs w:val="28"/>
              </w:rPr>
            </w:pPr>
          </w:p>
        </w:tc>
        <w:tc>
          <w:tcPr>
            <w:tcW w:w="1476" w:type="dxa"/>
            <w:vAlign w:val="center"/>
          </w:tcPr>
          <w:p>
            <w:pPr>
              <w:ind w:firstLine="480"/>
              <w:jc w:val="center"/>
              <w:rPr>
                <w:sz w:val="24"/>
                <w:szCs w:val="28"/>
              </w:rPr>
            </w:pPr>
          </w:p>
        </w:tc>
        <w:tc>
          <w:tcPr>
            <w:tcW w:w="1373" w:type="dxa"/>
            <w:vAlign w:val="center"/>
          </w:tcPr>
          <w:p>
            <w:pPr>
              <w:ind w:firstLine="480"/>
              <w:jc w:val="center"/>
              <w:rPr>
                <w:sz w:val="24"/>
                <w:szCs w:val="28"/>
              </w:rPr>
            </w:pPr>
          </w:p>
        </w:tc>
        <w:tc>
          <w:tcPr>
            <w:tcW w:w="1207" w:type="dxa"/>
            <w:vAlign w:val="center"/>
          </w:tcPr>
          <w:p>
            <w:pPr>
              <w:ind w:firstLine="480"/>
              <w:jc w:val="center"/>
              <w:rPr>
                <w:sz w:val="24"/>
                <w:szCs w:val="28"/>
              </w:rPr>
            </w:pPr>
          </w:p>
        </w:tc>
        <w:tc>
          <w:tcPr>
            <w:tcW w:w="1509" w:type="dxa"/>
            <w:vAlign w:val="center"/>
          </w:tcPr>
          <w:p>
            <w:pPr>
              <w:ind w:firstLine="480"/>
              <w:jc w:val="center"/>
              <w:rPr>
                <w:sz w:val="24"/>
                <w:szCs w:val="28"/>
              </w:rPr>
            </w:pPr>
          </w:p>
        </w:tc>
        <w:tc>
          <w:tcPr>
            <w:tcW w:w="3824" w:type="dxa"/>
            <w:vAlign w:val="center"/>
          </w:tcPr>
          <w:p>
            <w:pPr>
              <w:ind w:firstLine="480"/>
              <w:jc w:val="center"/>
              <w:rPr>
                <w:sz w:val="24"/>
                <w:szCs w:val="28"/>
              </w:rPr>
            </w:pPr>
          </w:p>
        </w:tc>
      </w:tr>
    </w:tbl>
    <w:p>
      <w:pPr>
        <w:ind w:firstLine="0" w:firstLineChars="0"/>
        <w:jc w:val="center"/>
        <w:rPr>
          <w:sz w:val="32"/>
          <w:szCs w:val="36"/>
        </w:rPr>
        <w:sectPr>
          <w:pgSz w:w="16838" w:h="11906" w:orient="landscape"/>
          <w:pgMar w:top="1800" w:right="1440" w:bottom="1800" w:left="1440" w:header="851" w:footer="992" w:gutter="0"/>
          <w:cols w:space="425" w:num="1"/>
          <w:docGrid w:type="lines" w:linePitch="312" w:charSpace="0"/>
        </w:sectPr>
      </w:pPr>
    </w:p>
    <w:p>
      <w:pPr>
        <w:ind w:firstLine="0" w:firstLineChars="0"/>
        <w:jc w:val="center"/>
        <w:rPr>
          <w:rFonts w:hint="eastAsia" w:ascii="黑体" w:hAnsi="黑体" w:eastAsia="黑体" w:cs="黑体"/>
          <w:sz w:val="32"/>
          <w:szCs w:val="36"/>
        </w:rPr>
      </w:pPr>
      <w:r>
        <w:rPr>
          <w:rFonts w:hint="eastAsia" w:ascii="黑体" w:hAnsi="黑体" w:eastAsia="黑体" w:cs="黑体"/>
          <w:sz w:val="32"/>
          <w:szCs w:val="36"/>
        </w:rPr>
        <w:t>一般工业固体废物产生清单</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443"/>
        <w:gridCol w:w="1647"/>
        <w:gridCol w:w="2262"/>
        <w:gridCol w:w="1548"/>
        <w:gridCol w:w="2534"/>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ind w:firstLine="0" w:firstLineChars="0"/>
              <w:jc w:val="center"/>
              <w:rPr>
                <w:sz w:val="24"/>
                <w:szCs w:val="28"/>
              </w:rPr>
            </w:pPr>
            <w:r>
              <w:rPr>
                <w:rFonts w:hint="eastAsia"/>
                <w:sz w:val="24"/>
                <w:szCs w:val="28"/>
              </w:rPr>
              <w:t>序号</w:t>
            </w:r>
          </w:p>
        </w:tc>
        <w:tc>
          <w:tcPr>
            <w:tcW w:w="450" w:type="pct"/>
            <w:vAlign w:val="center"/>
          </w:tcPr>
          <w:p>
            <w:pPr>
              <w:ind w:firstLine="0" w:firstLineChars="0"/>
              <w:jc w:val="center"/>
              <w:rPr>
                <w:sz w:val="24"/>
                <w:szCs w:val="28"/>
              </w:rPr>
            </w:pPr>
            <w:r>
              <w:rPr>
                <w:rFonts w:hint="eastAsia"/>
                <w:sz w:val="24"/>
                <w:szCs w:val="28"/>
              </w:rPr>
              <w:t>代码</w:t>
            </w:r>
          </w:p>
        </w:tc>
        <w:tc>
          <w:tcPr>
            <w:tcW w:w="591" w:type="pct"/>
            <w:vAlign w:val="center"/>
          </w:tcPr>
          <w:p>
            <w:pPr>
              <w:ind w:firstLine="0" w:firstLineChars="0"/>
              <w:jc w:val="center"/>
              <w:rPr>
                <w:sz w:val="24"/>
                <w:szCs w:val="28"/>
              </w:rPr>
            </w:pPr>
            <w:r>
              <w:rPr>
                <w:rFonts w:hint="eastAsia"/>
                <w:sz w:val="24"/>
                <w:szCs w:val="28"/>
              </w:rPr>
              <w:t>废物名称</w:t>
            </w:r>
          </w:p>
        </w:tc>
        <w:tc>
          <w:tcPr>
            <w:tcW w:w="808" w:type="pct"/>
            <w:vAlign w:val="center"/>
          </w:tcPr>
          <w:p>
            <w:pPr>
              <w:ind w:firstLine="0" w:firstLineChars="0"/>
              <w:jc w:val="center"/>
              <w:rPr>
                <w:sz w:val="24"/>
                <w:szCs w:val="28"/>
              </w:rPr>
            </w:pPr>
            <w:r>
              <w:rPr>
                <w:rFonts w:hint="eastAsia"/>
                <w:sz w:val="24"/>
                <w:szCs w:val="28"/>
              </w:rPr>
              <w:t>产生环节</w:t>
            </w:r>
          </w:p>
        </w:tc>
        <w:tc>
          <w:tcPr>
            <w:tcW w:w="556" w:type="pct"/>
            <w:vAlign w:val="center"/>
          </w:tcPr>
          <w:p>
            <w:pPr>
              <w:ind w:firstLine="0" w:firstLineChars="0"/>
              <w:jc w:val="center"/>
              <w:rPr>
                <w:sz w:val="24"/>
                <w:szCs w:val="28"/>
              </w:rPr>
            </w:pPr>
            <w:r>
              <w:rPr>
                <w:rFonts w:hint="eastAsia"/>
                <w:sz w:val="24"/>
                <w:szCs w:val="28"/>
              </w:rPr>
              <w:t>物理性状</w:t>
            </w:r>
          </w:p>
        </w:tc>
        <w:tc>
          <w:tcPr>
            <w:tcW w:w="904" w:type="pct"/>
            <w:vAlign w:val="center"/>
          </w:tcPr>
          <w:p>
            <w:pPr>
              <w:ind w:firstLine="0" w:firstLineChars="0"/>
              <w:jc w:val="center"/>
              <w:rPr>
                <w:sz w:val="24"/>
                <w:szCs w:val="28"/>
              </w:rPr>
            </w:pPr>
            <w:r>
              <w:rPr>
                <w:rFonts w:hint="eastAsia"/>
                <w:sz w:val="24"/>
                <w:szCs w:val="28"/>
              </w:rPr>
              <w:t>2024年拟年产生量（吨）</w:t>
            </w:r>
          </w:p>
        </w:tc>
        <w:tc>
          <w:tcPr>
            <w:tcW w:w="1347" w:type="pct"/>
            <w:vAlign w:val="center"/>
          </w:tcPr>
          <w:p>
            <w:pPr>
              <w:ind w:firstLine="0" w:firstLineChars="0"/>
              <w:jc w:val="center"/>
              <w:rPr>
                <w:sz w:val="24"/>
                <w:szCs w:val="28"/>
              </w:rPr>
            </w:pPr>
            <w:r>
              <w:rPr>
                <w:rFonts w:hint="eastAsia"/>
                <w:sz w:val="24"/>
                <w:szCs w:val="2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1</w:t>
            </w:r>
          </w:p>
        </w:tc>
        <w:tc>
          <w:tcPr>
            <w:tcW w:w="450"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SW99-14</w:t>
            </w:r>
          </w:p>
        </w:tc>
        <w:tc>
          <w:tcPr>
            <w:tcW w:w="591"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废包装纸</w:t>
            </w:r>
          </w:p>
        </w:tc>
        <w:tc>
          <w:tcPr>
            <w:tcW w:w="808"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包装过程</w:t>
            </w:r>
          </w:p>
        </w:tc>
        <w:tc>
          <w:tcPr>
            <w:tcW w:w="556" w:type="pct"/>
            <w:vAlign w:val="center"/>
          </w:tcPr>
          <w:p>
            <w:pPr>
              <w:spacing w:line="240" w:lineRule="auto"/>
              <w:ind w:firstLine="0" w:firstLineChars="0"/>
              <w:jc w:val="center"/>
              <w:rPr>
                <w:rFonts w:hint="eastAsia" w:eastAsia="仿宋"/>
                <w:sz w:val="32"/>
                <w:szCs w:val="36"/>
                <w:lang w:val="en-US" w:eastAsia="zh-CN"/>
              </w:rPr>
            </w:pPr>
            <w:r>
              <w:rPr>
                <w:rFonts w:hint="eastAsia"/>
                <w:sz w:val="32"/>
                <w:szCs w:val="36"/>
                <w:lang w:val="en-US" w:eastAsia="zh-CN"/>
              </w:rPr>
              <w:t>固体</w:t>
            </w:r>
          </w:p>
        </w:tc>
        <w:tc>
          <w:tcPr>
            <w:tcW w:w="904"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0.3</w:t>
            </w:r>
          </w:p>
        </w:tc>
        <w:tc>
          <w:tcPr>
            <w:tcW w:w="1347"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资质单位回收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2</w:t>
            </w:r>
          </w:p>
        </w:tc>
        <w:tc>
          <w:tcPr>
            <w:tcW w:w="450"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SW99-15</w:t>
            </w:r>
          </w:p>
        </w:tc>
        <w:tc>
          <w:tcPr>
            <w:tcW w:w="591" w:type="pct"/>
            <w:vAlign w:val="center"/>
          </w:tcPr>
          <w:p>
            <w:pPr>
              <w:spacing w:line="240" w:lineRule="auto"/>
              <w:ind w:firstLine="0" w:firstLineChars="0"/>
              <w:jc w:val="center"/>
              <w:rPr>
                <w:rFonts w:hint="eastAsia" w:eastAsia="仿宋"/>
                <w:sz w:val="32"/>
                <w:szCs w:val="36"/>
                <w:lang w:val="en-US" w:eastAsia="zh-CN"/>
              </w:rPr>
            </w:pPr>
            <w:r>
              <w:rPr>
                <w:rFonts w:hint="eastAsia"/>
                <w:sz w:val="32"/>
                <w:szCs w:val="36"/>
                <w:lang w:val="en-US" w:eastAsia="zh-CN"/>
              </w:rPr>
              <w:t>废塑料</w:t>
            </w:r>
          </w:p>
        </w:tc>
        <w:tc>
          <w:tcPr>
            <w:tcW w:w="808"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生产过程</w:t>
            </w:r>
          </w:p>
        </w:tc>
        <w:tc>
          <w:tcPr>
            <w:tcW w:w="556" w:type="pct"/>
            <w:vAlign w:val="center"/>
          </w:tcPr>
          <w:p>
            <w:pPr>
              <w:spacing w:line="240" w:lineRule="auto"/>
              <w:ind w:firstLine="0" w:firstLineChars="0"/>
              <w:jc w:val="center"/>
              <w:rPr>
                <w:rFonts w:hint="eastAsia" w:eastAsia="仿宋"/>
                <w:sz w:val="32"/>
                <w:szCs w:val="36"/>
                <w:lang w:val="en-US" w:eastAsia="zh-CN"/>
              </w:rPr>
            </w:pPr>
            <w:r>
              <w:rPr>
                <w:rFonts w:hint="eastAsia"/>
                <w:sz w:val="32"/>
                <w:szCs w:val="36"/>
                <w:lang w:val="en-US" w:eastAsia="zh-CN"/>
              </w:rPr>
              <w:t>固体</w:t>
            </w:r>
          </w:p>
        </w:tc>
        <w:tc>
          <w:tcPr>
            <w:tcW w:w="904"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0.6</w:t>
            </w:r>
          </w:p>
        </w:tc>
        <w:tc>
          <w:tcPr>
            <w:tcW w:w="1347" w:type="pct"/>
            <w:vAlign w:val="center"/>
          </w:tcPr>
          <w:p>
            <w:pPr>
              <w:spacing w:line="240" w:lineRule="auto"/>
              <w:ind w:firstLine="0" w:firstLineChars="0"/>
              <w:jc w:val="center"/>
              <w:rPr>
                <w:rFonts w:hint="default" w:eastAsia="仿宋"/>
                <w:sz w:val="32"/>
                <w:szCs w:val="36"/>
                <w:lang w:val="en-US" w:eastAsia="zh-CN"/>
              </w:rPr>
            </w:pPr>
            <w:r>
              <w:rPr>
                <w:rFonts w:hint="eastAsia"/>
                <w:sz w:val="32"/>
                <w:szCs w:val="36"/>
                <w:lang w:val="en-US" w:eastAsia="zh-CN"/>
              </w:rPr>
              <w:t>供应商回收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3</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4</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5</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6</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7</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8</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spacing w:line="240" w:lineRule="auto"/>
              <w:ind w:firstLine="0" w:firstLineChars="0"/>
              <w:jc w:val="center"/>
              <w:rPr>
                <w:sz w:val="32"/>
                <w:szCs w:val="36"/>
              </w:rPr>
            </w:pPr>
            <w:r>
              <w:rPr>
                <w:rFonts w:hint="eastAsia"/>
                <w:sz w:val="32"/>
                <w:szCs w:val="36"/>
              </w:rPr>
              <w:t>9</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1" w:type="pct"/>
            <w:vAlign w:val="center"/>
          </w:tcPr>
          <w:p>
            <w:pPr>
              <w:spacing w:line="240" w:lineRule="auto"/>
              <w:ind w:firstLine="0" w:firstLineChars="0"/>
              <w:jc w:val="center"/>
              <w:rPr>
                <w:sz w:val="32"/>
                <w:szCs w:val="36"/>
              </w:rPr>
            </w:pPr>
            <w:r>
              <w:rPr>
                <w:rFonts w:hint="eastAsia"/>
                <w:sz w:val="32"/>
                <w:szCs w:val="36"/>
              </w:rPr>
              <w:t>10</w:t>
            </w:r>
          </w:p>
        </w:tc>
        <w:tc>
          <w:tcPr>
            <w:tcW w:w="450" w:type="pct"/>
            <w:vAlign w:val="center"/>
          </w:tcPr>
          <w:p>
            <w:pPr>
              <w:spacing w:line="240" w:lineRule="auto"/>
              <w:ind w:firstLine="0" w:firstLineChars="0"/>
              <w:jc w:val="center"/>
              <w:rPr>
                <w:sz w:val="32"/>
                <w:szCs w:val="36"/>
              </w:rPr>
            </w:pPr>
          </w:p>
        </w:tc>
        <w:tc>
          <w:tcPr>
            <w:tcW w:w="591" w:type="pct"/>
            <w:vAlign w:val="center"/>
          </w:tcPr>
          <w:p>
            <w:pPr>
              <w:spacing w:line="240" w:lineRule="auto"/>
              <w:ind w:firstLine="0" w:firstLineChars="0"/>
              <w:jc w:val="center"/>
              <w:rPr>
                <w:sz w:val="32"/>
                <w:szCs w:val="36"/>
              </w:rPr>
            </w:pPr>
          </w:p>
        </w:tc>
        <w:tc>
          <w:tcPr>
            <w:tcW w:w="808" w:type="pct"/>
            <w:vAlign w:val="center"/>
          </w:tcPr>
          <w:p>
            <w:pPr>
              <w:spacing w:line="240" w:lineRule="auto"/>
              <w:ind w:firstLine="0" w:firstLineChars="0"/>
              <w:jc w:val="center"/>
              <w:rPr>
                <w:sz w:val="32"/>
                <w:szCs w:val="36"/>
              </w:rPr>
            </w:pPr>
          </w:p>
        </w:tc>
        <w:tc>
          <w:tcPr>
            <w:tcW w:w="556" w:type="pct"/>
            <w:vAlign w:val="center"/>
          </w:tcPr>
          <w:p>
            <w:pPr>
              <w:spacing w:line="240" w:lineRule="auto"/>
              <w:ind w:firstLine="0" w:firstLineChars="0"/>
              <w:jc w:val="center"/>
              <w:rPr>
                <w:sz w:val="32"/>
                <w:szCs w:val="36"/>
              </w:rPr>
            </w:pPr>
          </w:p>
        </w:tc>
        <w:tc>
          <w:tcPr>
            <w:tcW w:w="904" w:type="pct"/>
            <w:vAlign w:val="center"/>
          </w:tcPr>
          <w:p>
            <w:pPr>
              <w:spacing w:line="240" w:lineRule="auto"/>
              <w:ind w:firstLine="0" w:firstLineChars="0"/>
              <w:jc w:val="center"/>
              <w:rPr>
                <w:sz w:val="32"/>
                <w:szCs w:val="36"/>
              </w:rPr>
            </w:pPr>
          </w:p>
        </w:tc>
        <w:tc>
          <w:tcPr>
            <w:tcW w:w="1347" w:type="pct"/>
            <w:vAlign w:val="center"/>
          </w:tcPr>
          <w:p>
            <w:pPr>
              <w:spacing w:line="240" w:lineRule="auto"/>
              <w:ind w:firstLine="0" w:firstLineChars="0"/>
              <w:jc w:val="center"/>
              <w:rPr>
                <w:sz w:val="32"/>
                <w:szCs w:val="36"/>
              </w:rPr>
            </w:pPr>
          </w:p>
        </w:tc>
      </w:tr>
    </w:tbl>
    <w:p>
      <w:pPr>
        <w:ind w:firstLine="0" w:firstLineChars="0"/>
        <w:rPr>
          <w:sz w:val="32"/>
          <w:szCs w:val="36"/>
        </w:rPr>
      </w:pPr>
    </w:p>
    <w:sectPr>
      <w:pgSz w:w="16838" w:h="11906" w:orient="landscape"/>
      <w:pgMar w:top="1701" w:right="1440" w:bottom="1701"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0357D"/>
    <w:multiLevelType w:val="multilevel"/>
    <w:tmpl w:val="C950357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5E791F2"/>
    <w:multiLevelType w:val="multilevel"/>
    <w:tmpl w:val="45E791F2"/>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2I4NThiZTdlYzJiODQ3NjRlOWI4NTE2YjdiNzkifQ=="/>
  </w:docVars>
  <w:rsids>
    <w:rsidRoot w:val="008A1AAE"/>
    <w:rsid w:val="006863BF"/>
    <w:rsid w:val="007B4B79"/>
    <w:rsid w:val="007D6BB2"/>
    <w:rsid w:val="008A1AAE"/>
    <w:rsid w:val="00AE4C0D"/>
    <w:rsid w:val="00B829C2"/>
    <w:rsid w:val="00CB5BEB"/>
    <w:rsid w:val="00E55EFD"/>
    <w:rsid w:val="00E95262"/>
    <w:rsid w:val="010F24AE"/>
    <w:rsid w:val="0A4B4C26"/>
    <w:rsid w:val="11501B34"/>
    <w:rsid w:val="1BC05D1A"/>
    <w:rsid w:val="254204E2"/>
    <w:rsid w:val="26D454CD"/>
    <w:rsid w:val="29910CF5"/>
    <w:rsid w:val="2A6C52BE"/>
    <w:rsid w:val="2D241E80"/>
    <w:rsid w:val="2FD44032"/>
    <w:rsid w:val="364E20C3"/>
    <w:rsid w:val="3F146934"/>
    <w:rsid w:val="412A11FC"/>
    <w:rsid w:val="434A3F97"/>
    <w:rsid w:val="463F2338"/>
    <w:rsid w:val="4A9409E4"/>
    <w:rsid w:val="4EA12ED9"/>
    <w:rsid w:val="52C865A8"/>
    <w:rsid w:val="52CA3DD4"/>
    <w:rsid w:val="539063A6"/>
    <w:rsid w:val="5882256C"/>
    <w:rsid w:val="5E473A9D"/>
    <w:rsid w:val="5EC17191"/>
    <w:rsid w:val="60B62814"/>
    <w:rsid w:val="61AD5CF4"/>
    <w:rsid w:val="6509550A"/>
    <w:rsid w:val="67161B2A"/>
    <w:rsid w:val="697C6F0D"/>
    <w:rsid w:val="71267F25"/>
    <w:rsid w:val="74E84A53"/>
    <w:rsid w:val="77F704E3"/>
    <w:rsid w:val="7AD973D3"/>
    <w:rsid w:val="7D1A6800"/>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仿宋" w:cstheme="minorBidi"/>
      <w:kern w:val="2"/>
      <w:sz w:val="28"/>
      <w:szCs w:val="24"/>
      <w:lang w:val="en-US" w:eastAsia="zh-CN" w:bidi="ar-SA"/>
    </w:rPr>
  </w:style>
  <w:style w:type="paragraph" w:styleId="2">
    <w:name w:val="heading 1"/>
    <w:basedOn w:val="1"/>
    <w:next w:val="1"/>
    <w:autoRedefine/>
    <w:qFormat/>
    <w:uiPriority w:val="0"/>
    <w:pPr>
      <w:keepNext/>
      <w:keepLines/>
      <w:numPr>
        <w:ilvl w:val="0"/>
        <w:numId w:val="1"/>
      </w:numPr>
      <w:ind w:firstLine="0" w:firstLineChars="0"/>
      <w:outlineLvl w:val="0"/>
    </w:pPr>
    <w:rPr>
      <w:rFonts w:eastAsia="黑体" w:asciiTheme="minorHAnsi" w:hAnsiTheme="minorHAnsi"/>
      <w:kern w:val="44"/>
      <w:sz w:val="36"/>
      <w:szCs w:val="22"/>
    </w:rPr>
  </w:style>
  <w:style w:type="paragraph" w:styleId="3">
    <w:name w:val="heading 2"/>
    <w:basedOn w:val="1"/>
    <w:next w:val="1"/>
    <w:link w:val="12"/>
    <w:autoRedefine/>
    <w:semiHidden/>
    <w:unhideWhenUsed/>
    <w:qFormat/>
    <w:uiPriority w:val="0"/>
    <w:pPr>
      <w:keepNext/>
      <w:keepLines/>
      <w:numPr>
        <w:ilvl w:val="0"/>
        <w:numId w:val="2"/>
      </w:numPr>
      <w:ind w:firstLine="0"/>
      <w:jc w:val="left"/>
      <w:outlineLvl w:val="1"/>
    </w:pPr>
    <w:rPr>
      <w:rFonts w:ascii="Arial" w:hAnsi="Arial" w:eastAsia="黑体"/>
      <w:sz w:val="32"/>
      <w:szCs w:val="22"/>
    </w:rPr>
  </w:style>
  <w:style w:type="paragraph" w:styleId="4">
    <w:name w:val="heading 3"/>
    <w:basedOn w:val="1"/>
    <w:next w:val="1"/>
    <w:autoRedefine/>
    <w:semiHidden/>
    <w:unhideWhenUsed/>
    <w:qFormat/>
    <w:uiPriority w:val="0"/>
    <w:pPr>
      <w:keepNext/>
      <w:keepLines/>
      <w:ind w:firstLine="0" w:firstLineChars="0"/>
      <w:outlineLvl w:val="2"/>
    </w:pPr>
    <w:rPr>
      <w:rFonts w:eastAsia="黑体"/>
      <w:sz w:val="30"/>
    </w:rPr>
  </w:style>
  <w:style w:type="paragraph" w:styleId="5">
    <w:name w:val="heading 4"/>
    <w:basedOn w:val="1"/>
    <w:next w:val="1"/>
    <w:autoRedefine/>
    <w:semiHidden/>
    <w:unhideWhenUsed/>
    <w:qFormat/>
    <w:uiPriority w:val="0"/>
    <w:pPr>
      <w:keepNext/>
      <w:keepLines/>
      <w:ind w:firstLine="0"/>
      <w:outlineLvl w:val="3"/>
    </w:pPr>
    <w:rPr>
      <w:b/>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6"/>
    <w:uiPriority w:val="0"/>
    <w:pPr>
      <w:tabs>
        <w:tab w:val="center" w:pos="4153"/>
        <w:tab w:val="right" w:pos="8306"/>
      </w:tabs>
      <w:snapToGrid w:val="0"/>
      <w:spacing w:line="240" w:lineRule="auto"/>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标题 2 字符"/>
    <w:link w:val="3"/>
    <w:autoRedefine/>
    <w:qFormat/>
    <w:uiPriority w:val="0"/>
    <w:rPr>
      <w:rFonts w:ascii="Arial" w:hAnsi="Arial" w:eastAsia="黑体"/>
      <w:sz w:val="32"/>
      <w:szCs w:val="22"/>
    </w:rPr>
  </w:style>
  <w:style w:type="paragraph" w:customStyle="1" w:styleId="13">
    <w:name w:val="题注1"/>
    <w:basedOn w:val="1"/>
    <w:next w:val="1"/>
    <w:qFormat/>
    <w:uiPriority w:val="0"/>
    <w:pPr>
      <w:ind w:firstLine="0" w:firstLineChars="0"/>
      <w:jc w:val="center"/>
      <w:outlineLvl w:val="4"/>
    </w:pPr>
    <w:rPr>
      <w:rFonts w:eastAsia="黑体"/>
      <w:sz w:val="24"/>
    </w:rPr>
  </w:style>
  <w:style w:type="paragraph" w:customStyle="1" w:styleId="14">
    <w:name w:val="表格1"/>
    <w:basedOn w:val="1"/>
    <w:qFormat/>
    <w:uiPriority w:val="0"/>
    <w:pPr>
      <w:spacing w:line="240" w:lineRule="auto"/>
      <w:ind w:firstLine="0" w:firstLineChars="0"/>
      <w:jc w:val="center"/>
    </w:pPr>
    <w:rPr>
      <w:sz w:val="24"/>
    </w:rPr>
  </w:style>
  <w:style w:type="character" w:customStyle="1" w:styleId="15">
    <w:name w:val="页眉 字符"/>
    <w:basedOn w:val="10"/>
    <w:link w:val="7"/>
    <w:autoRedefine/>
    <w:qFormat/>
    <w:uiPriority w:val="0"/>
    <w:rPr>
      <w:rFonts w:eastAsia="仿宋" w:cstheme="minorBidi"/>
      <w:kern w:val="2"/>
      <w:sz w:val="18"/>
      <w:szCs w:val="18"/>
    </w:rPr>
  </w:style>
  <w:style w:type="character" w:customStyle="1" w:styleId="16">
    <w:name w:val="页脚 字符"/>
    <w:basedOn w:val="10"/>
    <w:link w:val="6"/>
    <w:autoRedefine/>
    <w:qFormat/>
    <w:uiPriority w:val="0"/>
    <w:rPr>
      <w:rFonts w:eastAsia="仿宋" w:cstheme="minorBidi"/>
      <w:kern w:val="2"/>
      <w:sz w:val="18"/>
      <w:szCs w:val="18"/>
    </w:rPr>
  </w:style>
  <w:style w:type="character" w:customStyle="1" w:styleId="17">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973</Words>
  <Characters>1099</Characters>
  <Lines>9</Lines>
  <Paragraphs>2</Paragraphs>
  <TotalTime>34</TotalTime>
  <ScaleCrop>false</ScaleCrop>
  <LinksUpToDate>false</LinksUpToDate>
  <CharactersWithSpaces>1171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2021-07-13T00:54:00Z</dcterms:created>
  <dc:creator>86188</dc:creator>
  <cp:lastModifiedBy>Administrator</cp:lastModifiedBy>
  <dcterms:modified xsi:type="dcterms:W3CDTF">2024-07-24T01:24:09Z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E11231048B3D422187FD05AEBD51CB2A_13</vt:lpwstr>
  </property>
</Properties>
</file>